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>
      <w:pPr>
        <w:pStyle w:val="21"/>
        <w:jc w:val="center"/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4925"/>
      <w:bookmarkStart w:id="1" w:name="_Toc23711"/>
      <w:bookmarkStart w:id="2" w:name="_Toc16193"/>
      <w:bookmarkStart w:id="3" w:name="_Toc18767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北京大学</w:t>
      </w:r>
      <w:bookmarkEnd w:id="0"/>
      <w:bookmarkEnd w:id="1"/>
      <w:bookmarkEnd w:id="2"/>
      <w:bookmarkEnd w:id="3"/>
    </w:p>
    <w:p>
      <w:pPr>
        <w:pStyle w:val="21"/>
        <w:jc w:val="center"/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bookmarkStart w:id="4" w:name="_Toc2573"/>
      <w:bookmarkStart w:id="5" w:name="_Toc31047"/>
      <w:bookmarkStart w:id="6" w:name="_Toc21799"/>
      <w:bookmarkStart w:id="7" w:name="_Toc26294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毕业论文（设计）管理系统</w:t>
      </w:r>
      <w:bookmarkEnd w:id="4"/>
      <w:bookmarkEnd w:id="5"/>
      <w:bookmarkEnd w:id="6"/>
      <w:bookmarkEnd w:id="7"/>
    </w:p>
    <w:p>
      <w:pPr>
        <w:pStyle w:val="21"/>
        <w:jc w:val="center"/>
        <w:rPr>
          <w:rFonts w:hint="default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bookmarkStart w:id="8" w:name="_Toc19298"/>
      <w:bookmarkStart w:id="9" w:name="_Toc9325"/>
      <w:bookmarkStart w:id="10" w:name="_Toc14840"/>
      <w:bookmarkStart w:id="11" w:name="_Toc7718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学生使用手册</w:t>
      </w:r>
      <w:bookmarkEnd w:id="8"/>
      <w:bookmarkEnd w:id="9"/>
      <w:bookmarkEnd w:id="10"/>
      <w:bookmarkEnd w:id="11"/>
    </w:p>
    <w:p/>
    <w:p/>
    <w:p/>
    <w:p/>
    <w:p/>
    <w:p/>
    <w:p/>
    <w:p/>
    <w:p/>
    <w:p/>
    <w:p/>
    <w:p/>
    <w:p/>
    <w:p/>
    <w:p/>
    <w:p/>
    <w:p/>
    <w:p/>
    <w:p>
      <w:pPr>
        <w:bidi w:val="0"/>
        <w:jc w:val="center"/>
      </w:pPr>
      <w:bookmarkStart w:id="12" w:name="_Toc27575"/>
      <w:bookmarkStart w:id="13" w:name="_Toc463"/>
      <w:bookmarkStart w:id="14" w:name="_Toc8356"/>
      <w:r>
        <w:rPr>
          <w:rFonts w:hint="eastAsia"/>
        </w:rPr>
        <w:t>同方知网数字出版技术股份有限公司</w:t>
      </w:r>
      <w:bookmarkEnd w:id="12"/>
      <w:bookmarkEnd w:id="13"/>
      <w:bookmarkEnd w:id="14"/>
    </w:p>
    <w:p>
      <w:pPr>
        <w:jc w:val="center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202</w:t>
      </w:r>
      <w:r>
        <w:rPr>
          <w:rFonts w:hint="eastAsia"/>
          <w:sz w:val="24"/>
          <w:lang w:val="en-US" w:eastAsia="zh-CN"/>
        </w:rPr>
        <w:t>3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>11</w:t>
      </w:r>
    </w:p>
    <w:p>
      <w:pPr>
        <w:jc w:val="center"/>
        <w:rPr>
          <w:rFonts w:hint="eastAsia"/>
          <w:sz w:val="24"/>
        </w:rPr>
      </w:pPr>
    </w:p>
    <w:p>
      <w:pPr>
        <w:spacing w:line="276" w:lineRule="auto"/>
        <w:jc w:val="center"/>
        <w:rPr>
          <w:rFonts w:hint="eastAsia" w:ascii="微软雅黑" w:hAnsi="微软雅黑" w:eastAsia="微软雅黑"/>
          <w:color w:val="303030"/>
          <w:sz w:val="28"/>
          <w:szCs w:val="28"/>
        </w:rPr>
      </w:pPr>
    </w:p>
    <w:p>
      <w:pPr>
        <w:spacing w:line="276" w:lineRule="auto"/>
        <w:rPr>
          <w:rFonts w:asciiTheme="minorHAnsi" w:hAnsiTheme="minorHAnsi" w:eastAsiaTheme="minorEastAsia" w:cstheme="minorBidi"/>
          <w:b/>
          <w:kern w:val="2"/>
          <w:sz w:val="21"/>
          <w:szCs w:val="22"/>
          <w:lang w:val="en-US" w:eastAsia="zh-CN" w:bidi="ar-SA"/>
        </w:rPr>
      </w:pPr>
    </w:p>
    <w:p>
      <w:pPr>
        <w:spacing w:line="276" w:lineRule="auto"/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_Toc16516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一、总体</w:t>
          </w:r>
          <w:r>
            <w:t>流程</w:t>
          </w:r>
          <w:r>
            <w:tab/>
          </w:r>
          <w:r>
            <w:fldChar w:fldCharType="begin"/>
          </w:r>
          <w:r>
            <w:instrText xml:space="preserve"> PAGEREF _Toc16516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_Toc9030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二、登录</w:t>
          </w:r>
          <w:r>
            <w:tab/>
          </w:r>
          <w:r>
            <w:fldChar w:fldCharType="begin"/>
          </w:r>
          <w:r>
            <w:instrText xml:space="preserve"> PAGEREF _Toc9030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_Toc22722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1、首次</w:t>
          </w:r>
          <w:r>
            <w:t>登录系统</w:t>
          </w:r>
          <w:r>
            <w:tab/>
          </w:r>
          <w:r>
            <w:fldChar w:fldCharType="begin"/>
          </w:r>
          <w:r>
            <w:instrText xml:space="preserve"> PAGEREF _Toc22722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_Toc16692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2、非首次登陆</w:t>
          </w:r>
          <w:r>
            <w:tab/>
          </w:r>
          <w:r>
            <w:fldChar w:fldCharType="begin"/>
          </w:r>
          <w:r>
            <w:instrText xml:space="preserve"> PAGEREF _Toc16692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_Toc18071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三、拟题、双选</w:t>
          </w:r>
          <w:r>
            <w:tab/>
          </w:r>
          <w:r>
            <w:fldChar w:fldCharType="begin"/>
          </w:r>
          <w:r>
            <w:instrText xml:space="preserve"> PAGEREF _Toc18071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_Toc11763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1、双选达成</w:t>
          </w:r>
          <w:r>
            <w:tab/>
          </w:r>
          <w:r>
            <w:fldChar w:fldCharType="begin"/>
          </w:r>
          <w:r>
            <w:instrText xml:space="preserve"> PAGEREF _Toc11763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_Toc13889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2、题目修改</w:t>
          </w:r>
          <w:r>
            <w:tab/>
          </w:r>
          <w:r>
            <w:fldChar w:fldCharType="begin"/>
          </w:r>
          <w:r>
            <w:instrText xml:space="preserve"> PAGEREF _Toc13889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_Toc13152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四、开题报告、中期报告、论文查重及原创授权声明</w:t>
          </w:r>
          <w:r>
            <w:tab/>
          </w:r>
          <w:r>
            <w:fldChar w:fldCharType="begin"/>
          </w:r>
          <w:r>
            <w:instrText xml:space="preserve"> PAGEREF _Toc13152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_Toc18010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1、提交开题报告、中期报告、原创授权声明</w:t>
          </w:r>
          <w:r>
            <w:tab/>
          </w:r>
          <w:r>
            <w:fldChar w:fldCharType="begin"/>
          </w:r>
          <w:r>
            <w:instrText xml:space="preserve"> PAGEREF _Toc18010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_Toc18711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t>提交</w:t>
          </w:r>
          <w:r>
            <w:rPr>
              <w:rFonts w:hint="eastAsia"/>
              <w:lang w:val="en-US" w:eastAsia="zh-CN"/>
            </w:rPr>
            <w:t>毕业论文查重稿</w:t>
          </w:r>
          <w:r>
            <w:tab/>
          </w:r>
          <w:r>
            <w:fldChar w:fldCharType="begin"/>
          </w:r>
          <w:r>
            <w:instrText xml:space="preserve"> PAGEREF _Toc18711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_Toc15823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五、毕业答辩</w:t>
          </w:r>
          <w:r>
            <w:tab/>
          </w:r>
          <w:r>
            <w:fldChar w:fldCharType="begin"/>
          </w:r>
          <w:r>
            <w:instrText xml:space="preserve"> PAGEREF _Toc15823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_Toc6413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1、查看答辩组安排</w:t>
          </w:r>
          <w:r>
            <w:tab/>
          </w:r>
          <w:r>
            <w:fldChar w:fldCharType="begin"/>
          </w:r>
          <w:r>
            <w:instrText xml:space="preserve"> PAGEREF _Toc6413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_Toc2706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t>提交答辩记录</w:t>
          </w:r>
          <w:r>
            <w:tab/>
          </w:r>
          <w:r>
            <w:fldChar w:fldCharType="begin"/>
          </w:r>
          <w:r>
            <w:instrText xml:space="preserve"> PAGEREF _Toc2706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_Toc24050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六、论文终版提交</w:t>
          </w:r>
          <w:r>
            <w:t>及表格导出</w:t>
          </w:r>
          <w:r>
            <w:tab/>
          </w:r>
          <w:r>
            <w:fldChar w:fldCharType="begin"/>
          </w:r>
          <w:r>
            <w:instrText xml:space="preserve"> PAGEREF _Toc24050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_Toc5881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1、论文终版</w:t>
          </w:r>
          <w:r>
            <w:t>提交</w:t>
          </w:r>
          <w:r>
            <w:tab/>
          </w:r>
          <w:r>
            <w:fldChar w:fldCharType="begin"/>
          </w:r>
          <w:r>
            <w:instrText xml:space="preserve"> PAGEREF _Toc5881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_Toc4513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 xml:space="preserve">2、 提交论文盲审版  </w:t>
          </w:r>
          <w:r>
            <w:tab/>
          </w:r>
          <w:r>
            <w:fldChar w:fldCharType="begin"/>
          </w:r>
          <w:r>
            <w:instrText xml:space="preserve"> PAGEREF _Toc4513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ind w:firstLine="420" w:firstLineChars="200"/>
          </w:pPr>
          <w:r>
            <w:fldChar w:fldCharType="begin"/>
          </w:r>
          <w:r>
            <w:instrText xml:space="preserve"> HYPERLINK \l _Toc13023 </w:instrText>
          </w:r>
          <w:r>
            <w:fldChar w:fldCharType="separate"/>
          </w:r>
          <w:r>
            <w:rPr>
              <w:rFonts w:hint="eastAsia"/>
              <w:bCs/>
              <w:kern w:val="2"/>
              <w:lang w:val="en-US" w:eastAsia="zh-CN" w:bidi="ar-SA"/>
            </w:rPr>
            <w:t>3、查看成绩、导出文档</w:t>
          </w:r>
          <w:r>
            <w:tab/>
          </w:r>
          <w:r>
            <w:fldChar w:fldCharType="begin"/>
          </w:r>
          <w:r>
            <w:instrText xml:space="preserve"> PAGEREF _Toc13023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spacing w:line="276" w:lineRule="auto"/>
            <w:rPr>
              <w:rFonts w:asciiTheme="minorHAnsi" w:hAnsiTheme="minorHAnsi" w:eastAsiaTheme="minorEastAsia" w:cstheme="minorBidi"/>
              <w:b/>
              <w:kern w:val="2"/>
              <w:sz w:val="21"/>
              <w:szCs w:val="22"/>
              <w:lang w:val="en-US" w:eastAsia="zh-CN" w:bidi="ar-SA"/>
            </w:rPr>
            <w:sectPr>
              <w:headerReference r:id="rId3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>
      <w:pPr>
        <w:pStyle w:val="2"/>
        <w:numPr>
          <w:ilvl w:val="0"/>
          <w:numId w:val="0"/>
        </w:numPr>
        <w:bidi w:val="0"/>
      </w:pPr>
      <w:bookmarkStart w:id="15" w:name="_Toc23082"/>
      <w:bookmarkStart w:id="16" w:name="_Toc16516"/>
      <w:r>
        <w:rPr>
          <w:rFonts w:hint="eastAsia"/>
          <w:lang w:val="en-US" w:eastAsia="zh-CN"/>
        </w:rPr>
        <w:t>一、总体</w:t>
      </w:r>
      <w:r>
        <w:t>流程</w:t>
      </w:r>
      <w:bookmarkEnd w:id="15"/>
      <w:bookmarkEnd w:id="16"/>
    </w:p>
    <w:p>
      <w:pPr>
        <w:numPr>
          <w:ilvl w:val="0"/>
          <w:numId w:val="0"/>
        </w:numPr>
        <w:ind w:left="420" w:leftChars="0" w:firstLine="420" w:firstLineChars="0"/>
        <w:rPr>
          <w:color w:val="FF0000"/>
        </w:rPr>
      </w:pPr>
      <w:r>
        <w:rPr>
          <w:color w:val="FF0000"/>
        </w:rPr>
        <w:t>“绿色”部分为毕</w:t>
      </w:r>
      <w:r>
        <w:rPr>
          <w:rFonts w:hint="eastAsia"/>
          <w:color w:val="FF0000"/>
          <w:lang w:val="en-US" w:eastAsia="zh-CN"/>
        </w:rPr>
        <w:t>业论文管理系统</w:t>
      </w:r>
      <w:r>
        <w:rPr>
          <w:color w:val="FF0000"/>
        </w:rPr>
        <w:t>整个过程中学生角色会进行的操作。</w:t>
      </w:r>
    </w:p>
    <w:p>
      <w:pPr>
        <w:numPr>
          <w:ilvl w:val="0"/>
          <w:numId w:val="0"/>
        </w:numPr>
        <w:ind w:left="420" w:leftChars="0" w:firstLine="420" w:firstLineChars="0"/>
      </w:pPr>
      <w:r>
        <w:t>根据流程，找到相应页面填报或查看即可。</w:t>
      </w:r>
    </w:p>
    <w:p>
      <w:pPr>
        <w:spacing w:line="276" w:lineRule="auto"/>
        <w:rPr>
          <w:rFonts w:hint="eastAsia" w:eastAsiaTheme="minorEastAsia"/>
          <w:color w:val="303030"/>
          <w:lang w:eastAsia="zh-CN"/>
        </w:rPr>
      </w:pPr>
      <w:r>
        <w:drawing>
          <wp:inline distT="0" distB="0" distL="114300" distR="114300">
            <wp:extent cx="5560695" cy="7041515"/>
            <wp:effectExtent l="0" t="0" r="1905" b="698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b/>
          <w:bCs/>
          <w:color w:val="303030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color w:val="303030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请注意：此版本为北京大学全校通用版本，具体使用时可根据学院具体要求进行选择查看。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17" w:name="_Toc9030"/>
      <w:bookmarkStart w:id="18" w:name="_Toc27434"/>
      <w:r>
        <w:rPr>
          <w:rFonts w:hint="eastAsia"/>
          <w:lang w:val="en-US" w:eastAsia="zh-CN"/>
        </w:rPr>
        <w:t>二、登录</w:t>
      </w:r>
      <w:bookmarkEnd w:id="17"/>
      <w:bookmarkEnd w:id="18"/>
    </w:p>
    <w:p>
      <w:pPr>
        <w:pStyle w:val="3"/>
        <w:bidi w:val="0"/>
      </w:pPr>
      <w:bookmarkStart w:id="19" w:name="_Toc22722"/>
      <w:r>
        <w:rPr>
          <w:rFonts w:hint="eastAsia"/>
          <w:lang w:val="en-US" w:eastAsia="zh-CN"/>
        </w:rPr>
        <w:t>1、首次</w:t>
      </w:r>
      <w:r>
        <w:t>登录系统</w:t>
      </w:r>
      <w:bookmarkEnd w:id="19"/>
    </w:p>
    <w:p>
      <w:pPr>
        <w:spacing w:line="276" w:lineRule="auto"/>
        <w:ind w:firstLine="42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1步：登录网址：</w:t>
      </w:r>
      <w:r>
        <w:fldChar w:fldCharType="begin"/>
      </w:r>
      <w:r>
        <w:instrText xml:space="preserve"> HYPERLINK "http://pku.co.cnki.net/Main.html?dp=pku&amp;r=1583063882952" </w:instrText>
      </w:r>
      <w:r>
        <w:fldChar w:fldCharType="separate"/>
      </w:r>
      <w:r>
        <w:rPr>
          <w:rStyle w:val="13"/>
          <w:rFonts w:ascii="宋体" w:hAnsi="宋体" w:eastAsia="宋体" w:cs="宋体"/>
          <w:sz w:val="24"/>
          <w:szCs w:val="24"/>
        </w:rPr>
        <w:t>http://</w:t>
      </w:r>
      <w:r>
        <w:rPr>
          <w:rStyle w:val="13"/>
          <w:rFonts w:hint="eastAsia" w:ascii="宋体" w:hAnsi="宋体" w:eastAsia="宋体" w:cs="宋体"/>
          <w:sz w:val="24"/>
          <w:szCs w:val="24"/>
          <w:lang w:val="en-US" w:eastAsia="zh-CN"/>
        </w:rPr>
        <w:t>pk</w:t>
      </w:r>
      <w:r>
        <w:rPr>
          <w:rStyle w:val="13"/>
          <w:rFonts w:hint="eastAsia" w:ascii="宋体" w:hAnsi="宋体" w:eastAsia="宋体" w:cs="宋体"/>
          <w:sz w:val="24"/>
          <w:szCs w:val="24"/>
        </w:rPr>
        <w:t>u</w:t>
      </w:r>
      <w:r>
        <w:rPr>
          <w:rStyle w:val="13"/>
          <w:rFonts w:ascii="宋体" w:hAnsi="宋体" w:eastAsia="宋体" w:cs="宋体"/>
          <w:sz w:val="24"/>
          <w:szCs w:val="24"/>
        </w:rPr>
        <w:t>.co.cnki.net/</w:t>
      </w:r>
      <w:r>
        <w:rPr>
          <w:rStyle w:val="13"/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bookmarkStart w:id="20" w:name="_Hlk86224575"/>
      <w:r>
        <w:rPr>
          <w:rFonts w:hint="eastAsia" w:ascii="宋体" w:hAnsi="宋体" w:eastAsia="宋体" w:cs="宋体"/>
          <w:sz w:val="24"/>
          <w:szCs w:val="24"/>
        </w:rPr>
        <w:t>（http后无s，登录后系统会自动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跳转到门户界面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bookmarkEnd w:id="20"/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81625" cy="3063875"/>
            <wp:effectExtent l="0" t="0" r="0" b="317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/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</w:t>
      </w:r>
      <w:r>
        <w:rPr>
          <w:rFonts w:hint="eastAsia"/>
          <w:color w:val="303030"/>
          <w:lang w:val="en-US" w:eastAsia="zh-CN"/>
        </w:rPr>
        <w:t>绑定手机号、更改论文管理系统初始密码（</w:t>
      </w:r>
      <w:r>
        <w:rPr>
          <w:rFonts w:hint="eastAsia"/>
          <w:b/>
          <w:bCs/>
          <w:color w:val="303030"/>
          <w:lang w:val="en-US" w:eastAsia="zh-CN"/>
        </w:rPr>
        <w:t>只首次登陆</w:t>
      </w:r>
      <w:r>
        <w:rPr>
          <w:rFonts w:hint="eastAsia"/>
          <w:color w:val="303030"/>
          <w:lang w:val="en-US" w:eastAsia="zh-CN"/>
        </w:rPr>
        <w:t>）；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584700" cy="2646045"/>
            <wp:effectExtent l="0" t="0" r="6350" b="190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/>
          <w:color w:val="303030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303030"/>
          <w:lang w:val="en-US" w:eastAsia="zh-CN"/>
        </w:rPr>
        <w:t>输入论文管理系统初始密码（</w:t>
      </w:r>
      <w:r>
        <w:rPr>
          <w:rFonts w:hint="eastAsia"/>
          <w:color w:val="FF0000"/>
          <w:lang w:val="en-US" w:eastAsia="zh-CN"/>
        </w:rPr>
        <w:t>此密码非数字门户密码</w:t>
      </w:r>
      <w:r>
        <w:rPr>
          <w:rFonts w:hint="eastAsia"/>
          <w:color w:val="303030"/>
          <w:lang w:val="en-US" w:eastAsia="zh-CN"/>
        </w:rPr>
        <w:t>）：</w:t>
      </w:r>
    </w:p>
    <w:p>
      <w:pPr>
        <w:spacing w:line="276" w:lineRule="auto"/>
        <w:ind w:firstLine="420" w:firstLineChars="200"/>
        <w:rPr>
          <w:rFonts w:hint="eastAsia"/>
          <w:color w:val="303030"/>
          <w:lang w:val="en-US" w:eastAsia="zh-CN"/>
        </w:rPr>
      </w:pPr>
      <w:r>
        <w:rPr>
          <w:rFonts w:hint="eastAsia"/>
          <w:color w:val="303030"/>
          <w:lang w:val="en-US" w:eastAsia="zh-CN"/>
        </w:rPr>
        <w:t xml:space="preserve">  各院系初始密码按通知执行。       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1" w:name="_Toc16692"/>
      <w:r>
        <w:rPr>
          <w:rFonts w:hint="eastAsia"/>
          <w:lang w:val="en-US" w:eastAsia="zh-CN"/>
        </w:rPr>
        <w:t>2、非首次登陆</w:t>
      </w:r>
      <w:bookmarkEnd w:id="2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82" w:firstLineChars="200"/>
        <w:jc w:val="left"/>
        <w:rPr>
          <w:rFonts w:hint="default" w:ascii="宋体" w:hAnsi="宋体" w:eastAsia="宋体" w:cs="宋体"/>
          <w:b/>
          <w:bCs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0"/>
          <w:sz w:val="24"/>
          <w:szCs w:val="24"/>
          <w:lang w:val="en-US" w:eastAsia="zh-CN" w:bidi="ar"/>
        </w:rPr>
        <w:t>可直接先进入门户后检索“毕业论文管理”，点击后登陆成功，无需再输入论文管理系统用户名、密码等</w:t>
      </w:r>
    </w:p>
    <w:p>
      <w:pPr>
        <w:spacing w:line="276" w:lineRule="auto"/>
        <w:ind w:firstLine="480" w:firstLineChars="200"/>
        <w:rPr>
          <w:rFonts w:hint="default"/>
          <w:color w:val="30303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366135"/>
            <wp:effectExtent l="0" t="0" r="635" b="5715"/>
            <wp:docPr id="9" name="图片 9" descr="05554d5a5e62435ec8089c3185f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5554d5a5e62435ec8089c3185f92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22" w:name="_Toc788"/>
      <w:bookmarkStart w:id="23" w:name="_Toc18071"/>
      <w:r>
        <w:rPr>
          <w:rFonts w:hint="eastAsia"/>
          <w:lang w:val="en-US" w:eastAsia="zh-CN"/>
        </w:rPr>
        <w:t>三、</w:t>
      </w:r>
      <w:bookmarkEnd w:id="22"/>
      <w:r>
        <w:rPr>
          <w:rFonts w:hint="eastAsia"/>
          <w:lang w:val="en-US" w:eastAsia="zh-CN"/>
        </w:rPr>
        <w:t>拟题、双选</w:t>
      </w:r>
      <w:bookmarkEnd w:id="23"/>
    </w:p>
    <w:p>
      <w:pPr>
        <w:pStyle w:val="3"/>
        <w:bidi w:val="0"/>
        <w:rPr>
          <w:rFonts w:hint="default"/>
          <w:lang w:val="en-US" w:eastAsia="zh-CN"/>
        </w:rPr>
      </w:pPr>
      <w:bookmarkStart w:id="24" w:name="_Toc11763"/>
      <w:r>
        <w:rPr>
          <w:rFonts w:hint="eastAsia"/>
          <w:lang w:val="en-US" w:eastAsia="zh-CN"/>
        </w:rPr>
        <w:t>1、双选达成</w:t>
      </w:r>
      <w:bookmarkEnd w:id="24"/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选题环节根据学院安排进行，具体可参考如下几种方式：</w:t>
      </w:r>
    </w:p>
    <w:p>
      <w:pPr>
        <w:numPr>
          <w:ilvl w:val="0"/>
          <w:numId w:val="1"/>
        </w:numPr>
        <w:ind w:left="208" w:leftChars="0" w:firstLine="42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方式一：学院统一导入系统双选关系，则学生不需要做任何操作，进入系统即可看见自己的论文题目及导师。（查看题目位置：首页-我的题目-查看详情）。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272030"/>
            <wp:effectExtent l="0" t="0" r="7620" b="444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208" w:leftChars="0" w:firstLine="42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方式二：学院仅统一导入教师和题目关系，学生需在线选择相应的题目和导师，由</w:t>
      </w:r>
      <w:r>
        <w:rPr>
          <w:rFonts w:hint="eastAsia"/>
          <w:color w:val="0000FF"/>
          <w:lang w:val="en-US" w:eastAsia="zh-CN"/>
        </w:rPr>
        <w:t>教务员或指导教师</w:t>
      </w:r>
      <w:r>
        <w:rPr>
          <w:rFonts w:hint="eastAsia"/>
          <w:lang w:val="en-US" w:eastAsia="zh-CN"/>
        </w:rPr>
        <w:t>审核通过后达成双选关系(此处详见各院系通知)。此种方式题目只能归属于指导教师，修改题目通过“申请修改题目”方式解决。</w:t>
      </w:r>
    </w:p>
    <w:p>
      <w:pPr>
        <w:numPr>
          <w:ilvl w:val="0"/>
          <w:numId w:val="0"/>
        </w:numPr>
        <w:ind w:left="63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位置：拟题、双选-学生选题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290320"/>
            <wp:effectExtent l="0" t="0" r="6350" b="508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208" w:leftChars="0" w:firstLine="42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方式三：学生发起论文题目申报，选择导师，导师或教务员审核通过，则达成双选关系。</w:t>
      </w: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8595" cy="1945005"/>
            <wp:effectExtent l="0" t="0" r="8255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3363595"/>
            <wp:effectExtent l="0" t="0" r="8890" b="825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教育部抽检信息填写内容可咨询学院教务员老师。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以上三种方式均可达成双选关系，学生根据学院要求择一种使用即可。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C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150" cy="2221230"/>
            <wp:effectExtent l="0" t="0" r="3175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C00000"/>
          <w:sz w:val="24"/>
          <w:szCs w:val="24"/>
          <w:lang w:val="en-US" w:eastAsia="zh-CN"/>
        </w:rPr>
        <w:t>注意：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C00000"/>
          <w:sz w:val="24"/>
          <w:szCs w:val="24"/>
          <w:lang w:val="en-US" w:eastAsia="zh-CN"/>
        </w:rPr>
        <w:t>（1）题目未最终确定时可简略描述，后期确定后随时修改；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C00000"/>
          <w:sz w:val="24"/>
          <w:szCs w:val="24"/>
          <w:lang w:val="en-US" w:eastAsia="zh-CN"/>
        </w:rPr>
        <w:t>（2）教育部抽检信息请同学仔细填写，此处信息可根据实际情况随时修改；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C00000"/>
          <w:sz w:val="24"/>
          <w:szCs w:val="24"/>
          <w:lang w:val="en-US" w:eastAsia="zh-CN"/>
        </w:rPr>
        <w:t>（3）题目务必保证准确，尤其答辩后修改论文时，注意题目信息准确性。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5" w:name="_Toc13889"/>
      <w:r>
        <w:rPr>
          <w:rFonts w:hint="eastAsia"/>
          <w:lang w:val="en-US" w:eastAsia="zh-CN"/>
        </w:rPr>
        <w:t>2、题目修改</w:t>
      </w:r>
      <w:bookmarkEnd w:id="25"/>
    </w:p>
    <w:p>
      <w:pPr>
        <w:numPr>
          <w:ilvl w:val="0"/>
          <w:numId w:val="0"/>
        </w:numPr>
        <w:spacing w:line="276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审核通过后的题目如需修改，可找</w:t>
      </w:r>
      <w:r>
        <w:rPr>
          <w:rFonts w:hint="eastAsia"/>
          <w:color w:val="0000FF"/>
          <w:lang w:val="en-US" w:eastAsia="zh-CN"/>
        </w:rPr>
        <w:t>教务员或导师</w:t>
      </w:r>
      <w:r>
        <w:rPr>
          <w:rFonts w:hint="eastAsia"/>
          <w:lang w:val="en-US" w:eastAsia="zh-CN"/>
        </w:rPr>
        <w:t>给予修改权限，学生点击首页“查看详情”进行修改</w:t>
      </w:r>
      <w:r>
        <w:rPr>
          <w:rFonts w:hint="eastAsia" w:asciiTheme="minorEastAsia" w:hAnsiTheme="minorEastAsia"/>
          <w:color w:val="303030"/>
          <w:lang w:val="en-US" w:eastAsia="zh-CN"/>
        </w:rPr>
        <w:t>；或学生通过申请题目修改方式进行修改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230" cy="2272030"/>
            <wp:effectExtent l="0" t="0" r="762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  <w:ind w:firstLine="420" w:firstLineChars="200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26" w:name="_Toc31432"/>
      <w:bookmarkStart w:id="27" w:name="_Toc13152"/>
      <w:r>
        <w:rPr>
          <w:rFonts w:hint="eastAsia"/>
          <w:lang w:val="en-US" w:eastAsia="zh-CN"/>
        </w:rPr>
        <w:t>四、开题报告、中期报告、论文查重及原创授权声明</w:t>
      </w:r>
      <w:bookmarkEnd w:id="26"/>
      <w:bookmarkEnd w:id="27"/>
    </w:p>
    <w:p>
      <w:pPr>
        <w:pStyle w:val="3"/>
        <w:bidi w:val="0"/>
        <w:rPr>
          <w:rFonts w:hint="default"/>
          <w:lang w:val="en-US" w:eastAsia="zh-CN"/>
        </w:rPr>
      </w:pPr>
      <w:bookmarkStart w:id="28" w:name="_Toc18010"/>
      <w:r>
        <w:rPr>
          <w:rFonts w:hint="eastAsia"/>
          <w:lang w:val="en-US" w:eastAsia="zh-CN"/>
        </w:rPr>
        <w:t>1、提交开题报告、中期报告、原创授权声明</w:t>
      </w:r>
      <w:bookmarkEnd w:id="28"/>
    </w:p>
    <w:p>
      <w:pPr>
        <w:spacing w:line="276" w:lineRule="auto"/>
        <w:ind w:firstLine="420" w:firstLineChars="200"/>
        <w:rPr>
          <w:rFonts w:hint="default"/>
          <w:color w:val="FF000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提交</w:t>
      </w:r>
      <w:r>
        <w:rPr>
          <w:rFonts w:hint="eastAsia" w:asciiTheme="minorEastAsia" w:hAnsiTheme="minorEastAsia"/>
          <w:color w:val="303030"/>
        </w:rPr>
        <w:t>：选择“</w:t>
      </w:r>
      <w:r>
        <w:rPr>
          <w:rFonts w:hint="eastAsia" w:asciiTheme="minorEastAsia" w:hAnsiTheme="minorEastAsia"/>
          <w:color w:val="303030"/>
          <w:lang w:val="en-US" w:eastAsia="zh-CN"/>
        </w:rPr>
        <w:t>开题管理-开题情况</w:t>
      </w:r>
      <w:r>
        <w:rPr>
          <w:rFonts w:hint="eastAsia" w:asciiTheme="minorEastAsia" w:hAnsiTheme="minorEastAsia"/>
          <w:color w:val="303030"/>
        </w:rPr>
        <w:t>”打开页面，或者在学生首页的“过程文档信息</w:t>
      </w:r>
      <w:r>
        <w:rPr>
          <w:rFonts w:hint="eastAsia" w:asciiTheme="minorEastAsia" w:hAnsiTheme="minorEastAsia"/>
          <w:color w:val="303030"/>
          <w:lang w:val="en-US" w:eastAsia="zh-CN"/>
        </w:rPr>
        <w:t>-开题报告</w:t>
      </w:r>
      <w:r>
        <w:rPr>
          <w:rFonts w:hint="eastAsia" w:asciiTheme="minorEastAsia" w:hAnsiTheme="minorEastAsia"/>
          <w:color w:val="303030"/>
        </w:rPr>
        <w:t>”栏的“</w:t>
      </w:r>
      <w:r>
        <w:rPr>
          <w:rFonts w:hint="eastAsia" w:asciiTheme="minorEastAsia" w:hAnsiTheme="minorEastAsia"/>
          <w:color w:val="303030"/>
          <w:lang w:val="en-US" w:eastAsia="zh-CN"/>
        </w:rPr>
        <w:t>点击提交</w:t>
      </w:r>
      <w:r>
        <w:rPr>
          <w:rFonts w:hint="eastAsia" w:asciiTheme="minorEastAsia" w:hAnsiTheme="minorEastAsia"/>
          <w:color w:val="303030"/>
        </w:rPr>
        <w:t>”打开页面</w:t>
      </w:r>
      <w:r>
        <w:rPr>
          <w:rFonts w:hint="eastAsia" w:asciiTheme="minorEastAsia" w:hAnsiTheme="minorEastAsia"/>
          <w:color w:val="303030"/>
          <w:lang w:eastAsia="zh-CN"/>
        </w:rPr>
        <w:t>，</w:t>
      </w:r>
      <w:r>
        <w:rPr>
          <w:rFonts w:hint="eastAsia" w:asciiTheme="minorEastAsia" w:hAnsiTheme="minorEastAsia"/>
          <w:color w:val="303030"/>
          <w:lang w:val="en-US" w:eastAsia="zh-CN"/>
        </w:rPr>
        <w:t>按照系统要求进行填写提交。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color w:val="FF0000"/>
          <w:lang w:eastAsia="zh-CN"/>
        </w:rPr>
      </w:pPr>
      <w:r>
        <w:rPr>
          <w:rFonts w:hint="default"/>
          <w:color w:val="FF0000"/>
        </w:rPr>
        <w:t>若学院未要求提交附件，可为空。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3040" cy="2776220"/>
            <wp:effectExtent l="0" t="0" r="3810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lang w:val="en-US" w:eastAsia="zh-CN"/>
        </w:rPr>
      </w:pPr>
      <w:r>
        <w:rPr>
          <w:rFonts w:hint="eastAsia"/>
          <w:b/>
          <w:bCs/>
          <w:lang w:val="en-US" w:eastAsia="zh-CN"/>
        </w:rPr>
        <w:t>开题报告提交界面：</w:t>
      </w:r>
      <w:r>
        <w:drawing>
          <wp:inline distT="0" distB="0" distL="114300" distR="114300">
            <wp:extent cx="5270500" cy="4536440"/>
            <wp:effectExtent l="0" t="0" r="6350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210" w:firstLineChars="100"/>
        <w:jc w:val="left"/>
        <w:rPr>
          <w:rFonts w:hint="eastAsia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修改</w:t>
      </w:r>
      <w:r>
        <w:rPr>
          <w:rFonts w:hint="eastAsia" w:asciiTheme="minorEastAsia" w:hAnsiTheme="minorEastAsia"/>
          <w:color w:val="303030"/>
          <w:lang w:val="en-US" w:eastAsia="zh-CN"/>
        </w:rPr>
        <w:t>：指导教师审核前，学生可以自行修改；审核通过后，需要指导教师或教务员授权修改权限才可修改。</w:t>
      </w:r>
    </w:p>
    <w:p>
      <w:pPr>
        <w:keepNext w:val="0"/>
        <w:keepLines w:val="0"/>
        <w:widowControl/>
        <w:suppressLineNumbers w:val="0"/>
        <w:ind w:firstLine="210" w:firstLineChars="100"/>
        <w:jc w:val="left"/>
        <w:rPr>
          <w:rFonts w:hint="default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>不需要审核的模块，学生可自行修改。</w:t>
      </w:r>
    </w:p>
    <w:p>
      <w:pPr>
        <w:keepNext w:val="0"/>
        <w:keepLines w:val="0"/>
        <w:widowControl/>
        <w:suppressLineNumbers w:val="0"/>
        <w:ind w:firstLine="211" w:firstLineChars="100"/>
        <w:jc w:val="left"/>
        <w:rPr>
          <w:rFonts w:hint="eastAsia" w:asciiTheme="minorEastAsia" w:hAnsiTheme="minorEastAsia"/>
          <w:b/>
          <w:bCs/>
          <w:color w:val="C0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C00000"/>
          <w:lang w:val="en-US" w:eastAsia="zh-CN"/>
        </w:rPr>
        <w:t>中期报告及原创授权声明与开题报告提交方式类似，可参考。</w:t>
      </w:r>
    </w:p>
    <w:p>
      <w:pPr>
        <w:keepNext w:val="0"/>
        <w:keepLines w:val="0"/>
        <w:widowControl/>
        <w:suppressLineNumbers w:val="0"/>
        <w:ind w:firstLine="211" w:firstLineChars="100"/>
        <w:jc w:val="left"/>
        <w:rPr>
          <w:rFonts w:hint="eastAsia" w:asciiTheme="minorEastAsia" w:hAnsiTheme="minorEastAsia"/>
          <w:b/>
          <w:bCs/>
          <w:color w:val="C0000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9" w:name="_Toc18711"/>
      <w:r>
        <w:rPr>
          <w:rFonts w:hint="eastAsia"/>
          <w:lang w:val="en-US" w:eastAsia="zh-CN"/>
        </w:rPr>
        <w:t>2、</w:t>
      </w:r>
      <w:r>
        <w:t>提交</w:t>
      </w:r>
      <w:r>
        <w:rPr>
          <w:rFonts w:hint="eastAsia"/>
          <w:lang w:val="en-US" w:eastAsia="zh-CN"/>
        </w:rPr>
        <w:t>毕业论文查重稿</w:t>
      </w:r>
      <w:bookmarkEnd w:id="29"/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论文查重</w:t>
      </w:r>
      <w:r>
        <w:rPr>
          <w:rFonts w:hint="eastAsia" w:asciiTheme="minorEastAsia" w:hAnsiTheme="minorEastAsia"/>
          <w:color w:val="303030"/>
        </w:rPr>
        <w:t>”打开页面，或者在学生首页的“过程文档信息</w:t>
      </w:r>
      <w:r>
        <w:rPr>
          <w:rFonts w:hint="eastAsia" w:asciiTheme="minorEastAsia" w:hAnsiTheme="minorEastAsia"/>
          <w:color w:val="303030"/>
          <w:lang w:val="en-US" w:eastAsia="zh-CN"/>
        </w:rPr>
        <w:t>-</w:t>
      </w:r>
      <w:r>
        <w:rPr>
          <w:rFonts w:hint="eastAsia" w:asciiTheme="minorEastAsia" w:hAnsiTheme="minorEastAsia"/>
          <w:color w:val="303030"/>
        </w:rPr>
        <w:t>毕业</w:t>
      </w:r>
      <w:r>
        <w:rPr>
          <w:rFonts w:hint="eastAsia" w:asciiTheme="minorEastAsia" w:hAnsiTheme="minorEastAsia"/>
          <w:color w:val="303030"/>
          <w:lang w:val="en-US" w:eastAsia="zh-CN"/>
        </w:rPr>
        <w:t>论文</w:t>
      </w:r>
      <w:r>
        <w:rPr>
          <w:rFonts w:hint="eastAsia" w:asciiTheme="minorEastAsia" w:hAnsiTheme="minorEastAsia"/>
          <w:color w:val="303030"/>
        </w:rPr>
        <w:t>（</w:t>
      </w:r>
      <w:r>
        <w:rPr>
          <w:rFonts w:hint="eastAsia" w:asciiTheme="minorEastAsia" w:hAnsiTheme="minorEastAsia"/>
          <w:color w:val="303030"/>
          <w:lang w:val="en-US" w:eastAsia="zh-CN"/>
        </w:rPr>
        <w:t>设计</w:t>
      </w:r>
      <w:r>
        <w:rPr>
          <w:rFonts w:hint="eastAsia" w:asciiTheme="minorEastAsia" w:hAnsiTheme="minorEastAsia"/>
          <w:color w:val="303030"/>
        </w:rPr>
        <w:t>）”栏的“</w:t>
      </w:r>
      <w:r>
        <w:rPr>
          <w:rFonts w:hint="eastAsia" w:asciiTheme="minorEastAsia" w:hAnsiTheme="minorEastAsia"/>
          <w:color w:val="303030"/>
          <w:lang w:val="en-US" w:eastAsia="zh-CN"/>
        </w:rPr>
        <w:t>点击提交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313680" cy="2018665"/>
            <wp:effectExtent l="0" t="0" r="127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步：输入关键词等内容，添加待上传的毕设（论文）文档，选择</w:t>
      </w:r>
      <w:r>
        <w:rPr>
          <w:rFonts w:hint="eastAsia" w:asciiTheme="minorEastAsia" w:hAnsiTheme="minorEastAsia"/>
          <w:color w:val="303030"/>
          <w:lang w:eastAsia="zh-CN"/>
        </w:rPr>
        <w:t>“</w:t>
      </w:r>
      <w:r>
        <w:rPr>
          <w:rFonts w:hint="eastAsia" w:asciiTheme="minorEastAsia" w:hAnsiTheme="minorEastAsia"/>
          <w:color w:val="303030"/>
          <w:lang w:val="en-US" w:eastAsia="zh-CN"/>
        </w:rPr>
        <w:t>上传论文（待检测）</w:t>
      </w:r>
      <w:r>
        <w:rPr>
          <w:rFonts w:hint="eastAsia" w:asciiTheme="minorEastAsia" w:hAnsiTheme="minorEastAsia"/>
          <w:color w:val="303030"/>
          <w:lang w:eastAsia="zh-CN"/>
        </w:rPr>
        <w:t>”</w:t>
      </w:r>
      <w:r>
        <w:rPr>
          <w:rFonts w:hint="eastAsia" w:asciiTheme="minorEastAsia" w:hAnsiTheme="minorEastAsia"/>
          <w:color w:val="303030"/>
        </w:rPr>
        <w:t>，进行提交</w:t>
      </w:r>
      <w:r>
        <w:rPr>
          <w:rFonts w:hint="eastAsia" w:asciiTheme="minorEastAsia" w:hAnsiTheme="minorEastAsia"/>
          <w:color w:val="303030"/>
          <w:lang w:eastAsia="zh-CN"/>
        </w:rPr>
        <w:t>。</w:t>
      </w:r>
    </w:p>
    <w:p>
      <w:pPr>
        <w:keepNext w:val="0"/>
        <w:keepLines w:val="0"/>
        <w:widowControl/>
        <w:suppressLineNumbers w:val="0"/>
        <w:jc w:val="center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4860290" cy="4017645"/>
            <wp:effectExtent l="0" t="0" r="6985" b="190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2" w:firstLineChars="200"/>
        <w:rPr>
          <w:rFonts w:hint="eastAsia"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303030"/>
        </w:rPr>
        <w:t>*目前学校设置两次检测机会，具体检测时间听从学院具体安排。</w:t>
      </w:r>
      <w:r>
        <w:rPr>
          <w:rFonts w:hint="eastAsia" w:asciiTheme="minorEastAsia" w:hAnsiTheme="minorEastAsia"/>
          <w:b/>
          <w:bCs/>
          <w:color w:val="FF0000"/>
        </w:rPr>
        <w:t>学校规定两次机会，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每次起始时间到后，系统自动出现“提交文档”按钮，上传后即出检测结果，无法更改，</w:t>
      </w:r>
      <w:r>
        <w:rPr>
          <w:rFonts w:hint="eastAsia" w:asciiTheme="minorEastAsia" w:hAnsiTheme="minorEastAsia"/>
          <w:b/>
          <w:bCs/>
          <w:color w:val="FF0000"/>
        </w:rPr>
        <w:t>请同学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在上传前务必检查好上传版本正确性，</w:t>
      </w:r>
      <w:r>
        <w:rPr>
          <w:rFonts w:hint="eastAsia" w:asciiTheme="minorEastAsia" w:hAnsiTheme="minorEastAsia"/>
          <w:b/>
          <w:bCs/>
          <w:color w:val="FF0000"/>
        </w:rPr>
        <w:t>珍惜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检测机会</w:t>
      </w:r>
      <w:r>
        <w:rPr>
          <w:rFonts w:hint="eastAsia" w:asciiTheme="minorEastAsia" w:hAnsiTheme="minorEastAsia"/>
          <w:b/>
          <w:bCs/>
          <w:color w:val="FF0000"/>
        </w:rPr>
        <w:t>。</w:t>
      </w:r>
    </w:p>
    <w:p>
      <w:pPr>
        <w:spacing w:line="276" w:lineRule="auto"/>
        <w:ind w:firstLine="422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b/>
          <w:bCs/>
          <w:color w:val="303030"/>
        </w:rPr>
        <w:t>*检测后，学生可以查看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报告单。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30" w:name="_Toc13511"/>
      <w:bookmarkStart w:id="31" w:name="_Toc15823"/>
      <w:r>
        <w:rPr>
          <w:rFonts w:hint="eastAsia"/>
          <w:lang w:val="en-US" w:eastAsia="zh-CN"/>
        </w:rPr>
        <w:t>五、</w:t>
      </w:r>
      <w:bookmarkEnd w:id="30"/>
      <w:r>
        <w:rPr>
          <w:rFonts w:hint="eastAsia"/>
          <w:lang w:val="en-US" w:eastAsia="zh-CN"/>
        </w:rPr>
        <w:t>毕业答辩</w:t>
      </w:r>
      <w:bookmarkEnd w:id="31"/>
    </w:p>
    <w:p>
      <w:pPr>
        <w:pStyle w:val="3"/>
        <w:bidi w:val="0"/>
        <w:rPr>
          <w:rFonts w:hint="eastAsia"/>
          <w:lang w:val="en-US" w:eastAsia="zh-CN"/>
        </w:rPr>
      </w:pPr>
      <w:bookmarkStart w:id="32" w:name="_Toc6413"/>
      <w:r>
        <w:rPr>
          <w:rFonts w:hint="eastAsia"/>
          <w:lang w:val="en-US" w:eastAsia="zh-CN"/>
        </w:rPr>
        <w:t>1、查看答辩组安排</w:t>
      </w:r>
      <w:bookmarkEnd w:id="32"/>
    </w:p>
    <w:p>
      <w:r>
        <w:drawing>
          <wp:inline distT="0" distB="0" distL="114300" distR="114300">
            <wp:extent cx="5271135" cy="3427730"/>
            <wp:effectExtent l="0" t="0" r="5715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可在线查看具体的答辩时间、答辩地点等信息。关注微信消息提醒后，可在答辩前进行提醒。</w:t>
      </w:r>
    </w:p>
    <w:p>
      <w:pPr>
        <w:pStyle w:val="3"/>
        <w:bidi w:val="0"/>
      </w:pPr>
      <w:bookmarkStart w:id="33" w:name="_Toc2706"/>
      <w:r>
        <w:rPr>
          <w:rFonts w:hint="eastAsia"/>
          <w:lang w:val="en-US" w:eastAsia="zh-CN"/>
        </w:rPr>
        <w:t>2、</w:t>
      </w:r>
      <w:r>
        <w:t>提交答辩记录</w:t>
      </w:r>
      <w:bookmarkEnd w:id="33"/>
    </w:p>
    <w:p>
      <w:pPr>
        <w:ind w:firstLine="420"/>
        <w:rPr>
          <w:rFonts w:hint="eastAsia"/>
          <w:lang w:val="en-US" w:eastAsia="zh-CN"/>
        </w:rPr>
      </w:pPr>
      <w:r>
        <w:rPr>
          <w:rFonts w:hint="default"/>
        </w:rPr>
        <w:t>答辩结束后，</w:t>
      </w:r>
      <w:r>
        <w:rPr>
          <w:rFonts w:hint="eastAsia"/>
          <w:lang w:val="en-US" w:eastAsia="zh-CN"/>
        </w:rPr>
        <w:t>学院如要求学生自行填写，</w:t>
      </w:r>
      <w:r>
        <w:rPr>
          <w:rFonts w:hint="default"/>
        </w:rPr>
        <w:t>可</w:t>
      </w:r>
      <w:r>
        <w:rPr>
          <w:rFonts w:hint="eastAsia"/>
        </w:rPr>
        <w:t>提交</w:t>
      </w:r>
      <w:r>
        <w:rPr>
          <w:rFonts w:hint="default"/>
        </w:rPr>
        <w:t>答辩记录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位置：毕业答辩-毕业答辩情况。</w:t>
      </w:r>
    </w:p>
    <w:p>
      <w:pPr>
        <w:jc w:val="center"/>
      </w:pPr>
      <w:r>
        <w:drawing>
          <wp:inline distT="0" distB="0" distL="114300" distR="114300">
            <wp:extent cx="5271770" cy="3385185"/>
            <wp:effectExtent l="0" t="0" r="5080" b="571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34" w:name="_Toc17699"/>
      <w:bookmarkStart w:id="35" w:name="_Toc1326026888_WPSOffice_Level3"/>
      <w:bookmarkStart w:id="36" w:name="_Toc733160157"/>
      <w:bookmarkStart w:id="37" w:name="_Toc24050"/>
      <w:r>
        <w:rPr>
          <w:rFonts w:hint="eastAsia"/>
          <w:lang w:val="en-US" w:eastAsia="zh-CN"/>
        </w:rPr>
        <w:t>六、论文终版提交</w:t>
      </w:r>
      <w:r>
        <w:t>及表格导出</w:t>
      </w:r>
      <w:bookmarkEnd w:id="34"/>
      <w:bookmarkEnd w:id="35"/>
      <w:bookmarkEnd w:id="36"/>
      <w:bookmarkEnd w:id="37"/>
    </w:p>
    <w:p>
      <w:pPr>
        <w:pStyle w:val="3"/>
        <w:bidi w:val="0"/>
      </w:pPr>
      <w:bookmarkStart w:id="38" w:name="_Toc2109075860"/>
      <w:bookmarkStart w:id="39" w:name="_Toc5881"/>
      <w:r>
        <w:rPr>
          <w:rFonts w:hint="eastAsia"/>
          <w:lang w:val="en-US" w:eastAsia="zh-CN"/>
        </w:rPr>
        <w:t>1、论文终版</w:t>
      </w:r>
      <w:r>
        <w:t>提交</w:t>
      </w:r>
      <w:bookmarkEnd w:id="38"/>
      <w:bookmarkEnd w:id="39"/>
    </w:p>
    <w:p>
      <w:p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color w:val="0000FF"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教务员</w:t>
      </w:r>
      <w:r>
        <w:rPr>
          <w:rFonts w:hint="eastAsia"/>
          <w:b/>
          <w:bCs/>
          <w:color w:val="0000F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开通最终版提交权限以后</w:t>
      </w:r>
      <w:r>
        <w:rPr>
          <w:rFonts w:hint="default"/>
        </w:rPr>
        <w:t>，学生可</w:t>
      </w:r>
      <w:r>
        <w:rPr>
          <w:rFonts w:hint="eastAsia"/>
        </w:rPr>
        <w:t>看到</w:t>
      </w:r>
      <w:r>
        <w:rPr>
          <w:rFonts w:hint="eastAsia"/>
          <w:lang w:val="en-US" w:eastAsia="zh-CN"/>
        </w:rPr>
        <w:t>论文</w:t>
      </w:r>
      <w:r>
        <w:rPr>
          <w:rFonts w:hint="eastAsia"/>
        </w:rPr>
        <w:t>终版提交</w:t>
      </w:r>
      <w:r>
        <w:rPr>
          <w:rFonts w:hint="default"/>
        </w:rPr>
        <w:t>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页面</w:t>
      </w:r>
      <w:r>
        <w:rPr>
          <w:rFonts w:hint="default"/>
        </w:rPr>
        <w:t>与提交待检测论文页面相同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位置如下：论文终版管理-论文终版</w:t>
      </w: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5420" cy="2319020"/>
            <wp:effectExtent l="0" t="0" r="1905" b="508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进入页面后，点击“提交文档”即可</w:t>
      </w:r>
    </w:p>
    <w:p>
      <w:pPr>
        <w:jc w:val="both"/>
      </w:pPr>
      <w:r>
        <w:drawing>
          <wp:inline distT="0" distB="0" distL="114300" distR="114300">
            <wp:extent cx="5269865" cy="951865"/>
            <wp:effectExtent l="0" t="0" r="6985" b="63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264785" cy="2157095"/>
            <wp:effectExtent l="0" t="0" r="2540" b="508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74310" cy="1678940"/>
            <wp:effectExtent l="0" t="0" r="2540" b="698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注意：</w:t>
      </w:r>
    </w:p>
    <w:p>
      <w:pPr>
        <w:numPr>
          <w:ilvl w:val="0"/>
          <w:numId w:val="2"/>
        </w:numPr>
        <w:jc w:val="both"/>
        <w:rPr>
          <w:rFonts w:hint="eastAsia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论文终版为学校最终存档版本，上传教育部抽检平台即为此版论文，请同学上传前务必检查正确，提交时注意关键词与论文终版一致，且论文题目正确（如题目有改动，请联系教务员或导师给予权限，在双选模块修改题目即可）。</w:t>
      </w:r>
    </w:p>
    <w:p>
      <w:pPr>
        <w:numPr>
          <w:ilvl w:val="0"/>
          <w:numId w:val="2"/>
        </w:numPr>
        <w:jc w:val="both"/>
        <w:rPr>
          <w:rFonts w:hint="eastAsia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论文终版需要是PDF格式，且不能加密，不能为图片格式。同学上传前可检验后再上传（选择文字复制到空白文档无乱码即可）</w:t>
      </w:r>
    </w:p>
    <w:p>
      <w:pPr>
        <w:jc w:val="both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 xml:space="preserve"> </w:t>
      </w:r>
    </w:p>
    <w:p>
      <w:pPr>
        <w:pStyle w:val="3"/>
        <w:numPr>
          <w:ilvl w:val="0"/>
          <w:numId w:val="3"/>
        </w:numPr>
        <w:bidi w:val="0"/>
        <w:rPr>
          <w:rStyle w:val="17"/>
          <w:rFonts w:hint="eastAsia"/>
          <w:b/>
          <w:bCs/>
          <w:lang w:val="en-US" w:eastAsia="zh-CN"/>
        </w:rPr>
      </w:pPr>
      <w:bookmarkStart w:id="40" w:name="_Toc4513"/>
      <w:bookmarkStart w:id="44" w:name="_GoBack"/>
      <w:bookmarkEnd w:id="44"/>
      <w:r>
        <w:rPr>
          <w:rStyle w:val="17"/>
          <w:rFonts w:hint="eastAsia"/>
          <w:b/>
          <w:bCs/>
          <w:lang w:val="en-US" w:eastAsia="zh-CN"/>
        </w:rPr>
        <w:t xml:space="preserve">提交论文盲审版  </w:t>
      </w:r>
    </w:p>
    <w:bookmarkEnd w:id="40"/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下把最终版制作论文盲审版，按学校要求马赛克处理学生姓名、导师姓名等相关信息后，保存为PDF版本上传系统，系统可以自动检测是否盲审稿，如显示含有学生、导师等信息，同学可检查是否处理完全，线下改好后重新系统上“修改”上传。</w:t>
      </w:r>
    </w:p>
    <w:p>
      <w:pPr>
        <w:rPr>
          <w:rFonts w:hint="default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（如引用参考文献包含导师名字的可忽略此处提示）</w:t>
      </w:r>
    </w:p>
    <w:p>
      <w:pPr>
        <w:jc w:val="both"/>
      </w:pPr>
      <w:r>
        <w:drawing>
          <wp:inline distT="0" distB="0" distL="114300" distR="114300">
            <wp:extent cx="5273040" cy="2377440"/>
            <wp:effectExtent l="0" t="0" r="3810" b="381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68595" cy="1412240"/>
            <wp:effectExtent l="0" t="0" r="8255" b="698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pStyle w:val="3"/>
        <w:bidi w:val="0"/>
        <w:rPr>
          <w:rStyle w:val="17"/>
          <w:rFonts w:hint="default"/>
          <w:b/>
          <w:bCs/>
          <w:kern w:val="2"/>
          <w:lang w:val="en-US" w:eastAsia="zh-CN" w:bidi="ar-SA"/>
        </w:rPr>
      </w:pPr>
      <w:r>
        <w:drawing>
          <wp:inline distT="0" distB="0" distL="114300" distR="114300">
            <wp:extent cx="5261610" cy="1659255"/>
            <wp:effectExtent l="0" t="0" r="5715" b="762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1" w:name="_Toc872901638"/>
      <w:bookmarkStart w:id="42" w:name="_Toc13023"/>
      <w:r>
        <w:rPr>
          <w:rStyle w:val="17"/>
          <w:rFonts w:hint="eastAsia"/>
          <w:b/>
          <w:bCs/>
          <w:kern w:val="2"/>
          <w:lang w:val="en-US" w:eastAsia="zh-CN" w:bidi="ar-SA"/>
        </w:rPr>
        <w:t>3、</w:t>
      </w:r>
      <w:bookmarkEnd w:id="41"/>
      <w:bookmarkStart w:id="43" w:name="_Toc1224238352"/>
      <w:r>
        <w:rPr>
          <w:rStyle w:val="17"/>
          <w:rFonts w:hint="eastAsia"/>
          <w:b/>
          <w:bCs/>
          <w:kern w:val="2"/>
          <w:lang w:val="en-US" w:eastAsia="zh-CN" w:bidi="ar-SA"/>
        </w:rPr>
        <w:t>查看成绩</w:t>
      </w:r>
      <w:bookmarkEnd w:id="43"/>
      <w:r>
        <w:rPr>
          <w:rStyle w:val="17"/>
          <w:rFonts w:hint="eastAsia"/>
          <w:b/>
          <w:bCs/>
          <w:kern w:val="2"/>
          <w:lang w:val="en-US" w:eastAsia="zh-CN" w:bidi="ar-SA"/>
        </w:rPr>
        <w:t>、导出文档</w:t>
      </w:r>
      <w:bookmarkEnd w:id="42"/>
    </w:p>
    <w:p>
      <w:pPr>
        <w:jc w:val="both"/>
      </w:pPr>
      <w:r>
        <w:rPr>
          <w:rFonts w:hint="eastAsia"/>
          <w:lang w:val="en-US" w:eastAsia="zh-CN"/>
        </w:rPr>
        <w:t>学生可在“我的成绩”查看自己的所有成绩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位置：首页-导出文档，根据需要导出全部或部分文档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272405" cy="3531235"/>
            <wp:effectExtent l="0" t="0" r="4445" b="254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/>
        </w:rPr>
        <w:t>导出的word文档，若格式有瑕疵，可进行微调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同方知网数字出版技术股份有限公司</w: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4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D5E5DD"/>
    <w:multiLevelType w:val="singleLevel"/>
    <w:tmpl w:val="1AD5E5DD"/>
    <w:lvl w:ilvl="0" w:tentative="0">
      <w:start w:val="1"/>
      <w:numFmt w:val="decimal"/>
      <w:suff w:val="nothing"/>
      <w:lvlText w:val="（%1）"/>
      <w:lvlJc w:val="left"/>
      <w:pPr>
        <w:ind w:left="208"/>
      </w:pPr>
    </w:lvl>
  </w:abstractNum>
  <w:abstractNum w:abstractNumId="1">
    <w:nsid w:val="7A45BFD0"/>
    <w:multiLevelType w:val="singleLevel"/>
    <w:tmpl w:val="7A45BFD0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E409FBB"/>
    <w:multiLevelType w:val="singleLevel"/>
    <w:tmpl w:val="7E409FB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ZkMDJkOTE1OGYzMWQyYzA4NWRlYmYzODFkNzY5YzIifQ=="/>
  </w:docVars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1723697"/>
    <w:rsid w:val="01EB1EE2"/>
    <w:rsid w:val="05624252"/>
    <w:rsid w:val="058371F2"/>
    <w:rsid w:val="07802007"/>
    <w:rsid w:val="088906FA"/>
    <w:rsid w:val="0A8A782F"/>
    <w:rsid w:val="0C4A6383"/>
    <w:rsid w:val="0D14620C"/>
    <w:rsid w:val="11760F3D"/>
    <w:rsid w:val="14D133EF"/>
    <w:rsid w:val="15521124"/>
    <w:rsid w:val="15B17662"/>
    <w:rsid w:val="19BF1F2D"/>
    <w:rsid w:val="1CFB32A0"/>
    <w:rsid w:val="1D2C70D0"/>
    <w:rsid w:val="21D649F5"/>
    <w:rsid w:val="23333DA0"/>
    <w:rsid w:val="264335BF"/>
    <w:rsid w:val="291D5938"/>
    <w:rsid w:val="29534C2C"/>
    <w:rsid w:val="2B595BBA"/>
    <w:rsid w:val="2C842731"/>
    <w:rsid w:val="2DEB251B"/>
    <w:rsid w:val="31101D7D"/>
    <w:rsid w:val="33544BA7"/>
    <w:rsid w:val="3A287229"/>
    <w:rsid w:val="3D8331DC"/>
    <w:rsid w:val="3DA16F50"/>
    <w:rsid w:val="3F6C6C42"/>
    <w:rsid w:val="3F807CF1"/>
    <w:rsid w:val="40141BF8"/>
    <w:rsid w:val="40D93AE4"/>
    <w:rsid w:val="416C40CA"/>
    <w:rsid w:val="41D61BEB"/>
    <w:rsid w:val="454C7A0E"/>
    <w:rsid w:val="471072A6"/>
    <w:rsid w:val="474A5F31"/>
    <w:rsid w:val="479F7B2F"/>
    <w:rsid w:val="49F62F7C"/>
    <w:rsid w:val="4BF278C2"/>
    <w:rsid w:val="4D2B692A"/>
    <w:rsid w:val="4DBF2D62"/>
    <w:rsid w:val="4DC863E5"/>
    <w:rsid w:val="4E297EB7"/>
    <w:rsid w:val="50FF0DB0"/>
    <w:rsid w:val="51055932"/>
    <w:rsid w:val="51781E1E"/>
    <w:rsid w:val="53E22C41"/>
    <w:rsid w:val="541458A6"/>
    <w:rsid w:val="58A02137"/>
    <w:rsid w:val="5BF87777"/>
    <w:rsid w:val="5C38418D"/>
    <w:rsid w:val="5D504294"/>
    <w:rsid w:val="5DB23DD6"/>
    <w:rsid w:val="5E0A3AB0"/>
    <w:rsid w:val="5FD94F05"/>
    <w:rsid w:val="6B6C65E7"/>
    <w:rsid w:val="6C6E78B2"/>
    <w:rsid w:val="6E83691B"/>
    <w:rsid w:val="6F7C67C5"/>
    <w:rsid w:val="6FF0672D"/>
    <w:rsid w:val="709F335B"/>
    <w:rsid w:val="73091F73"/>
    <w:rsid w:val="78DC76CE"/>
    <w:rsid w:val="7A0F4D8F"/>
    <w:rsid w:val="7A1E5330"/>
    <w:rsid w:val="7E09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 Char"/>
    <w:basedOn w:val="12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 Char"/>
    <w:basedOn w:val="12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styleId="21">
    <w:name w:val="Intense Quote"/>
    <w:basedOn w:val="1"/>
    <w:next w:val="1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14:textFill>
        <w14:solidFill>
          <w14:schemeClr w14:val="accent1"/>
        </w14:solidFill>
      </w14:textFill>
    </w:rPr>
  </w:style>
  <w:style w:type="paragraph" w:customStyle="1" w:styleId="2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0813FD-AA58-4A53-8B4A-AC9C23AFFF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1761</Words>
  <Characters>1796</Characters>
  <Lines>44</Lines>
  <Paragraphs>12</Paragraphs>
  <TotalTime>14</TotalTime>
  <ScaleCrop>false</ScaleCrop>
  <LinksUpToDate>false</LinksUpToDate>
  <CharactersWithSpaces>1935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2018-08-27T01:56:00Z</dcterms:created>
  <dc:creator>shenyanhbxf@126.com</dc:creator>
  <cp:lastModifiedBy>徐剑平</cp:lastModifiedBy>
  <cp:lastPrinted>2021-10-12T01:49:00Z</cp:lastPrinted>
  <dcterms:modified xsi:type="dcterms:W3CDTF">2024-01-10T14:10:19Z</dcterms:modified>
  <cp:revision>5183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RubyTemplateID" linkTarget="0">
    <vt:lpwstr>6</vt:lpwstr>
  </property>
  <property fmtid="{D5CDD505-2E9C-101B-9397-08002B2CF9AE}" pid="4" name="ICV">
    <vt:lpwstr>801B7D45C6AA47BCBA780017C8F483E8</vt:lpwstr>
  </property>
  <property fmtid="{D5CDD505-2E9C-101B-9397-08002B2CF9AE}" pid="5" name="commondata">
    <vt:lpwstr>eyJoZGlkIjoiNDI1NGQ4MDY4NjMxYWVlMzc3ODM2NDE0MmU1ODUxYzYifQ==</vt:lpwstr>
  </property>
</Properties>
</file>